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6D7085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MPC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43201">
        <w:rPr>
          <w:rFonts w:ascii="Arial" w:hAnsi="Arial" w:cs="Arial"/>
          <w:b/>
          <w:sz w:val="20"/>
          <w:szCs w:val="20"/>
        </w:rPr>
        <w:t>A</w:t>
      </w:r>
      <w:r w:rsidR="00E43201" w:rsidRPr="00E43201">
        <w:rPr>
          <w:rFonts w:ascii="Arial" w:hAnsi="Arial" w:cs="Arial"/>
          <w:b/>
          <w:sz w:val="20"/>
          <w:szCs w:val="20"/>
        </w:rPr>
        <w:t>nnual General Mandate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D7085">
        <w:rPr>
          <w:rFonts w:ascii="Arial" w:hAnsi="Arial" w:cs="Arial"/>
          <w:sz w:val="20"/>
          <w:szCs w:val="20"/>
        </w:rPr>
        <w:t>27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985126">
        <w:rPr>
          <w:rFonts w:ascii="Arial" w:hAnsi="Arial" w:cs="Arial"/>
          <w:sz w:val="20"/>
          <w:szCs w:val="20"/>
        </w:rPr>
        <w:t>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6D7085" w:rsidRPr="006D7085">
        <w:rPr>
          <w:rFonts w:ascii="Arial" w:hAnsi="Arial" w:cs="Arial"/>
          <w:sz w:val="20"/>
          <w:szCs w:val="20"/>
        </w:rPr>
        <w:t xml:space="preserve">Minh </w:t>
      </w:r>
      <w:proofErr w:type="spellStart"/>
      <w:r w:rsidR="006D7085" w:rsidRPr="006D7085">
        <w:rPr>
          <w:rFonts w:ascii="Arial" w:hAnsi="Arial" w:cs="Arial"/>
          <w:sz w:val="20"/>
          <w:szCs w:val="20"/>
        </w:rPr>
        <w:t>Phu</w:t>
      </w:r>
      <w:proofErr w:type="spellEnd"/>
      <w:r w:rsidR="006D7085" w:rsidRPr="006D7085">
        <w:rPr>
          <w:rFonts w:ascii="Arial" w:hAnsi="Arial" w:cs="Arial"/>
          <w:sz w:val="20"/>
          <w:szCs w:val="20"/>
        </w:rPr>
        <w:t xml:space="preserve"> Seafood Corp.</w:t>
      </w:r>
      <w:r w:rsidR="006D7085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3F38AB">
        <w:rPr>
          <w:rFonts w:ascii="Arial" w:hAnsi="Arial" w:cs="Arial"/>
          <w:sz w:val="20"/>
          <w:szCs w:val="20"/>
        </w:rPr>
        <w:t>annual General Mandate 2020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C93F6A" w:rsidRDefault="00C93F6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</w:t>
      </w:r>
      <w:r w:rsidRPr="00C93F6A">
        <w:rPr>
          <w:rFonts w:ascii="Arial" w:hAnsi="Arial" w:cs="Arial"/>
          <w:sz w:val="20"/>
          <w:szCs w:val="20"/>
        </w:rPr>
        <w:t xml:space="preserve">pprove the Report of the Board of Directors, the report of the </w:t>
      </w:r>
      <w:r>
        <w:rPr>
          <w:rFonts w:ascii="Arial" w:hAnsi="Arial" w:cs="Arial"/>
          <w:sz w:val="20"/>
          <w:szCs w:val="20"/>
        </w:rPr>
        <w:t>Management Board</w:t>
      </w:r>
      <w:r w:rsidRPr="00C93F6A">
        <w:rPr>
          <w:rFonts w:ascii="Arial" w:hAnsi="Arial" w:cs="Arial"/>
          <w:sz w:val="20"/>
          <w:szCs w:val="20"/>
        </w:rPr>
        <w:t xml:space="preserve"> and the R</w:t>
      </w:r>
      <w:r>
        <w:rPr>
          <w:rFonts w:ascii="Arial" w:hAnsi="Arial" w:cs="Arial"/>
          <w:sz w:val="20"/>
          <w:szCs w:val="20"/>
        </w:rPr>
        <w:t>eport of the Supervisory Board</w:t>
      </w:r>
    </w:p>
    <w:p w:rsidR="00C93F6A" w:rsidRDefault="00C93F6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Pr="00C93F6A">
        <w:rPr>
          <w:rFonts w:ascii="Arial" w:hAnsi="Arial" w:cs="Arial"/>
          <w:sz w:val="20"/>
          <w:szCs w:val="20"/>
        </w:rPr>
        <w:t xml:space="preserve">Approving </w:t>
      </w:r>
      <w:r>
        <w:rPr>
          <w:rFonts w:ascii="Arial" w:hAnsi="Arial" w:cs="Arial"/>
          <w:sz w:val="20"/>
          <w:szCs w:val="20"/>
        </w:rPr>
        <w:t>the audited financial statement</w:t>
      </w:r>
      <w:r w:rsidRPr="00C93F6A">
        <w:rPr>
          <w:rFonts w:ascii="Arial" w:hAnsi="Arial" w:cs="Arial"/>
          <w:sz w:val="20"/>
          <w:szCs w:val="20"/>
        </w:rPr>
        <w:t xml:space="preserve"> of 2019</w:t>
      </w:r>
    </w:p>
    <w:p w:rsidR="00C93F6A" w:rsidRDefault="00C93F6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</w:t>
      </w:r>
      <w:r w:rsidRPr="00C93F6A">
        <w:rPr>
          <w:rFonts w:ascii="Arial" w:hAnsi="Arial" w:cs="Arial"/>
          <w:sz w:val="20"/>
          <w:szCs w:val="20"/>
        </w:rPr>
        <w:t>Approve the 2019 profit distribution plan an</w:t>
      </w:r>
      <w:r>
        <w:rPr>
          <w:rFonts w:ascii="Arial" w:hAnsi="Arial" w:cs="Arial"/>
          <w:sz w:val="20"/>
          <w:szCs w:val="20"/>
        </w:rPr>
        <w:t>d 2020 profit distribution plan</w:t>
      </w:r>
    </w:p>
    <w:p w:rsidR="002E7289" w:rsidRDefault="00C93F6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C93F6A">
        <w:rPr>
          <w:rFonts w:ascii="Arial" w:hAnsi="Arial" w:cs="Arial"/>
          <w:sz w:val="20"/>
          <w:szCs w:val="20"/>
        </w:rPr>
        <w:t xml:space="preserve">  Profit distribution plan for 2019: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3258"/>
      </w:tblGrid>
      <w:tr w:rsidR="002E7289" w:rsidTr="002E7289">
        <w:tc>
          <w:tcPr>
            <w:tcW w:w="6318" w:type="dxa"/>
          </w:tcPr>
          <w:p w:rsidR="002E7289" w:rsidRDefault="002E7289" w:rsidP="002E728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</w:t>
            </w:r>
            <w:r w:rsidRPr="00C93F6A">
              <w:rPr>
                <w:rFonts w:ascii="Arial" w:hAnsi="Arial" w:cs="Arial"/>
                <w:sz w:val="20"/>
                <w:szCs w:val="20"/>
              </w:rPr>
              <w:t xml:space="preserve"> DISTRIBUTION OF 2019 </w:t>
            </w:r>
          </w:p>
        </w:tc>
        <w:tc>
          <w:tcPr>
            <w:tcW w:w="3258" w:type="dxa"/>
          </w:tcPr>
          <w:p w:rsidR="002E7289" w:rsidRDefault="002E728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F6A">
              <w:rPr>
                <w:rFonts w:ascii="Arial" w:hAnsi="Arial" w:cs="Arial"/>
                <w:sz w:val="20"/>
                <w:szCs w:val="20"/>
              </w:rPr>
              <w:t>DISTRIBUTION AMOUNT (VND)</w:t>
            </w:r>
          </w:p>
        </w:tc>
      </w:tr>
      <w:tr w:rsidR="002E7289" w:rsidTr="002E7289">
        <w:tc>
          <w:tcPr>
            <w:tcW w:w="6318" w:type="dxa"/>
          </w:tcPr>
          <w:p w:rsidR="002E7289" w:rsidRDefault="002E728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Undistributed</w:t>
            </w:r>
            <w:r w:rsidRPr="00C93F6A">
              <w:rPr>
                <w:rFonts w:ascii="Arial" w:hAnsi="Arial" w:cs="Arial"/>
                <w:sz w:val="20"/>
                <w:szCs w:val="20"/>
              </w:rPr>
              <w:t xml:space="preserve"> consolidated profit</w:t>
            </w:r>
            <w:r>
              <w:rPr>
                <w:rFonts w:ascii="Arial" w:hAnsi="Arial" w:cs="Arial"/>
                <w:sz w:val="20"/>
                <w:szCs w:val="20"/>
              </w:rPr>
              <w:t xml:space="preserve"> on </w:t>
            </w:r>
            <w:r w:rsidRPr="00C93F6A">
              <w:rPr>
                <w:rFonts w:ascii="Arial" w:hAnsi="Arial" w:cs="Arial"/>
                <w:sz w:val="20"/>
                <w:szCs w:val="20"/>
              </w:rPr>
              <w:t>31 December 2019</w:t>
            </w:r>
          </w:p>
        </w:tc>
        <w:tc>
          <w:tcPr>
            <w:tcW w:w="3258" w:type="dxa"/>
          </w:tcPr>
          <w:p w:rsidR="002E7289" w:rsidRDefault="002E728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F6A">
              <w:rPr>
                <w:rFonts w:ascii="Arial" w:hAnsi="Arial" w:cs="Arial"/>
                <w:sz w:val="20"/>
                <w:szCs w:val="20"/>
              </w:rPr>
              <w:t>346,136,917,045</w:t>
            </w:r>
          </w:p>
        </w:tc>
      </w:tr>
      <w:tr w:rsidR="002E7289" w:rsidTr="002E7289">
        <w:tc>
          <w:tcPr>
            <w:tcW w:w="6318" w:type="dxa"/>
          </w:tcPr>
          <w:p w:rsidR="002E7289" w:rsidRDefault="002E728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Extraction</w:t>
            </w:r>
            <w:r w:rsidRPr="00C93F6A">
              <w:rPr>
                <w:rFonts w:ascii="Arial" w:hAnsi="Arial" w:cs="Arial"/>
                <w:sz w:val="20"/>
                <w:szCs w:val="20"/>
              </w:rPr>
              <w:t xml:space="preserve"> to bonus and welfare fund (5%)  </w:t>
            </w:r>
          </w:p>
        </w:tc>
        <w:tc>
          <w:tcPr>
            <w:tcW w:w="3258" w:type="dxa"/>
          </w:tcPr>
          <w:p w:rsidR="002E7289" w:rsidRDefault="002E728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F6A">
              <w:rPr>
                <w:rFonts w:ascii="Arial" w:hAnsi="Arial" w:cs="Arial"/>
                <w:sz w:val="20"/>
                <w:szCs w:val="20"/>
              </w:rPr>
              <w:t>17,306,800,000</w:t>
            </w:r>
          </w:p>
        </w:tc>
      </w:tr>
      <w:tr w:rsidR="002E7289" w:rsidTr="002E7289">
        <w:tc>
          <w:tcPr>
            <w:tcW w:w="6318" w:type="dxa"/>
          </w:tcPr>
          <w:p w:rsidR="002E7289" w:rsidRDefault="00C3741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and</w:t>
            </w:r>
            <w:r w:rsidR="002E7289">
              <w:rPr>
                <w:rFonts w:ascii="Arial" w:hAnsi="Arial" w:cs="Arial"/>
                <w:sz w:val="20"/>
                <w:szCs w:val="20"/>
              </w:rPr>
              <w:t xml:space="preserve"> Development Fund (5%)</w:t>
            </w:r>
          </w:p>
        </w:tc>
        <w:tc>
          <w:tcPr>
            <w:tcW w:w="3258" w:type="dxa"/>
          </w:tcPr>
          <w:p w:rsidR="002E7289" w:rsidRDefault="002E728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F6A">
              <w:rPr>
                <w:rFonts w:ascii="Arial" w:hAnsi="Arial" w:cs="Arial"/>
                <w:sz w:val="20"/>
                <w:szCs w:val="20"/>
              </w:rPr>
              <w:t>17,306,800,000</w:t>
            </w:r>
          </w:p>
        </w:tc>
      </w:tr>
      <w:tr w:rsidR="002E7289" w:rsidTr="002E7289">
        <w:tc>
          <w:tcPr>
            <w:tcW w:w="6318" w:type="dxa"/>
          </w:tcPr>
          <w:p w:rsidR="002E7289" w:rsidRDefault="00C37415" w:rsidP="002116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F6A">
              <w:rPr>
                <w:rFonts w:ascii="Arial" w:hAnsi="Arial" w:cs="Arial"/>
                <w:sz w:val="20"/>
                <w:szCs w:val="20"/>
              </w:rPr>
              <w:t>Dividend distribution VND 1,500/share</w:t>
            </w:r>
          </w:p>
        </w:tc>
        <w:tc>
          <w:tcPr>
            <w:tcW w:w="3258" w:type="dxa"/>
          </w:tcPr>
          <w:p w:rsidR="002E7289" w:rsidRDefault="00C3741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F6A">
              <w:rPr>
                <w:rFonts w:ascii="Arial" w:hAnsi="Arial" w:cs="Arial"/>
                <w:sz w:val="20"/>
                <w:szCs w:val="20"/>
              </w:rPr>
              <w:t>300,000,000,000</w:t>
            </w:r>
          </w:p>
        </w:tc>
      </w:tr>
      <w:tr w:rsidR="002E7289" w:rsidTr="002E7289">
        <w:tc>
          <w:tcPr>
            <w:tcW w:w="6318" w:type="dxa"/>
          </w:tcPr>
          <w:p w:rsidR="002E7289" w:rsidRDefault="00C37415" w:rsidP="00C37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Remaining undistributed profit</w:t>
            </w:r>
          </w:p>
        </w:tc>
        <w:tc>
          <w:tcPr>
            <w:tcW w:w="3258" w:type="dxa"/>
          </w:tcPr>
          <w:p w:rsidR="002E7289" w:rsidRDefault="00C3741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F6A">
              <w:rPr>
                <w:rFonts w:ascii="Arial" w:hAnsi="Arial" w:cs="Arial"/>
                <w:sz w:val="20"/>
                <w:szCs w:val="20"/>
              </w:rPr>
              <w:t>11,523,317,045</w:t>
            </w:r>
          </w:p>
        </w:tc>
      </w:tr>
    </w:tbl>
    <w:p w:rsidR="00C37415" w:rsidRDefault="00C3741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0946" w:rsidRDefault="00A7094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Approving the plan on </w:t>
      </w:r>
      <w:r w:rsidR="00C93F6A" w:rsidRPr="00C93F6A">
        <w:rPr>
          <w:rFonts w:ascii="Arial" w:hAnsi="Arial" w:cs="Arial"/>
          <w:sz w:val="20"/>
          <w:szCs w:val="20"/>
        </w:rPr>
        <w:t xml:space="preserve">2019 </w:t>
      </w:r>
      <w:r>
        <w:rPr>
          <w:rFonts w:ascii="Arial" w:hAnsi="Arial" w:cs="Arial"/>
          <w:sz w:val="20"/>
          <w:szCs w:val="20"/>
        </w:rPr>
        <w:t>dividend payment in cash,</w:t>
      </w:r>
      <w:r w:rsidR="00C93F6A" w:rsidRPr="00C93F6A">
        <w:rPr>
          <w:rFonts w:ascii="Arial" w:hAnsi="Arial" w:cs="Arial"/>
          <w:sz w:val="20"/>
          <w:szCs w:val="20"/>
        </w:rPr>
        <w:t xml:space="preserve"> with the following contents: </w:t>
      </w:r>
    </w:p>
    <w:p w:rsidR="00BB773F" w:rsidRDefault="00A7094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93F6A" w:rsidRPr="00C93F6A">
        <w:rPr>
          <w:rFonts w:ascii="Arial" w:hAnsi="Arial" w:cs="Arial"/>
          <w:sz w:val="20"/>
          <w:szCs w:val="20"/>
        </w:rPr>
        <w:t>Payment ratio: 15% on par value, equivalent to VND 1,500</w:t>
      </w:r>
      <w:r w:rsidR="00BB773F">
        <w:rPr>
          <w:rFonts w:ascii="Arial" w:hAnsi="Arial" w:cs="Arial"/>
          <w:sz w:val="20"/>
          <w:szCs w:val="20"/>
        </w:rPr>
        <w:t>/</w:t>
      </w:r>
      <w:r w:rsidR="00C93F6A" w:rsidRPr="00C93F6A">
        <w:rPr>
          <w:rFonts w:ascii="Arial" w:hAnsi="Arial" w:cs="Arial"/>
          <w:sz w:val="20"/>
          <w:szCs w:val="20"/>
        </w:rPr>
        <w:t xml:space="preserve">share </w:t>
      </w:r>
    </w:p>
    <w:p w:rsidR="00BB773F" w:rsidRDefault="00BB773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93F6A" w:rsidRPr="00C93F6A">
        <w:rPr>
          <w:rFonts w:ascii="Arial" w:hAnsi="Arial" w:cs="Arial"/>
          <w:sz w:val="20"/>
          <w:szCs w:val="20"/>
        </w:rPr>
        <w:t>Implementation source: A</w:t>
      </w:r>
      <w:r>
        <w:rPr>
          <w:rFonts w:ascii="Arial" w:hAnsi="Arial" w:cs="Arial"/>
          <w:sz w:val="20"/>
          <w:szCs w:val="20"/>
        </w:rPr>
        <w:t>ccumulated undistributed profit</w:t>
      </w:r>
      <w:r w:rsidR="00C93F6A" w:rsidRPr="00C93F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 w:rsidR="00C93F6A" w:rsidRPr="00C93F6A">
        <w:rPr>
          <w:rFonts w:ascii="Arial" w:hAnsi="Arial" w:cs="Arial"/>
          <w:sz w:val="20"/>
          <w:szCs w:val="20"/>
        </w:rPr>
        <w:t xml:space="preserve"> December 31, 2019</w:t>
      </w:r>
    </w:p>
    <w:p w:rsidR="00BB773F" w:rsidRDefault="00BB773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Implementation time: in 2020</w:t>
      </w:r>
    </w:p>
    <w:p w:rsidR="006D7085" w:rsidRDefault="00BB773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C93F6A" w:rsidRPr="00C93F6A">
        <w:rPr>
          <w:rFonts w:ascii="Arial" w:hAnsi="Arial" w:cs="Arial"/>
          <w:sz w:val="20"/>
          <w:szCs w:val="20"/>
        </w:rPr>
        <w:t xml:space="preserve"> Authorizing the Board of Directors to select an appropriate time to carry out procedures for clo</w:t>
      </w:r>
      <w:r>
        <w:rPr>
          <w:rFonts w:ascii="Arial" w:hAnsi="Arial" w:cs="Arial"/>
          <w:sz w:val="20"/>
          <w:szCs w:val="20"/>
        </w:rPr>
        <w:t xml:space="preserve">sing the </w:t>
      </w:r>
      <w:r w:rsidR="00C93F6A" w:rsidRPr="00C93F6A">
        <w:rPr>
          <w:rFonts w:ascii="Arial" w:hAnsi="Arial" w:cs="Arial"/>
          <w:sz w:val="20"/>
          <w:szCs w:val="20"/>
        </w:rPr>
        <w:t xml:space="preserve">list of shareholders in accordance with law, the </w:t>
      </w:r>
      <w:r>
        <w:rPr>
          <w:rFonts w:ascii="Arial" w:hAnsi="Arial" w:cs="Arial"/>
          <w:sz w:val="20"/>
          <w:szCs w:val="20"/>
        </w:rPr>
        <w:t xml:space="preserve">agencies </w:t>
      </w:r>
      <w:r w:rsidR="00C93F6A" w:rsidRPr="00C93F6A">
        <w:rPr>
          <w:rFonts w:ascii="Arial" w:hAnsi="Arial" w:cs="Arial"/>
          <w:sz w:val="20"/>
          <w:szCs w:val="20"/>
        </w:rPr>
        <w:t xml:space="preserve">and implementation </w:t>
      </w:r>
      <w:r>
        <w:rPr>
          <w:rFonts w:ascii="Arial" w:hAnsi="Arial" w:cs="Arial"/>
          <w:sz w:val="20"/>
          <w:szCs w:val="20"/>
        </w:rPr>
        <w:t>of</w:t>
      </w:r>
      <w:r w:rsidR="00C93F6A" w:rsidRPr="00C93F6A">
        <w:rPr>
          <w:rFonts w:ascii="Arial" w:hAnsi="Arial" w:cs="Arial"/>
          <w:sz w:val="20"/>
          <w:szCs w:val="20"/>
        </w:rPr>
        <w:t xml:space="preserve"> other relate</w:t>
      </w:r>
      <w:r w:rsidR="00CF6D90">
        <w:rPr>
          <w:rFonts w:ascii="Arial" w:hAnsi="Arial" w:cs="Arial"/>
          <w:sz w:val="20"/>
          <w:szCs w:val="20"/>
        </w:rPr>
        <w:t>d tasks to pay dividend of</w:t>
      </w:r>
      <w:r w:rsidR="00C93F6A" w:rsidRPr="00C93F6A">
        <w:rPr>
          <w:rFonts w:ascii="Arial" w:hAnsi="Arial" w:cs="Arial"/>
          <w:sz w:val="20"/>
          <w:szCs w:val="20"/>
        </w:rPr>
        <w:t xml:space="preserve"> 2019 </w:t>
      </w:r>
      <w:r w:rsidR="00CF6D90">
        <w:rPr>
          <w:rFonts w:ascii="Arial" w:hAnsi="Arial" w:cs="Arial"/>
          <w:sz w:val="20"/>
          <w:szCs w:val="20"/>
        </w:rPr>
        <w:t xml:space="preserve">in </w:t>
      </w:r>
      <w:r w:rsidR="00C93F6A" w:rsidRPr="00C93F6A">
        <w:rPr>
          <w:rFonts w:ascii="Arial" w:hAnsi="Arial" w:cs="Arial"/>
          <w:sz w:val="20"/>
          <w:szCs w:val="20"/>
        </w:rPr>
        <w:t xml:space="preserve">cash </w:t>
      </w:r>
      <w:r w:rsidR="00CF6D90">
        <w:rPr>
          <w:rFonts w:ascii="Arial" w:hAnsi="Arial" w:cs="Arial"/>
          <w:sz w:val="20"/>
          <w:szCs w:val="20"/>
        </w:rPr>
        <w:t>to shareholders</w:t>
      </w:r>
    </w:p>
    <w:p w:rsidR="00CF6D90" w:rsidRDefault="00CF6D9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Expected plan on profit distribution for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168"/>
      </w:tblGrid>
      <w:tr w:rsidR="00CF6D90" w:rsidTr="00554914">
        <w:tc>
          <w:tcPr>
            <w:tcW w:w="6408" w:type="dxa"/>
          </w:tcPr>
          <w:p w:rsidR="00CF6D90" w:rsidRDefault="00CF6D9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on profit distribution for 2020</w:t>
            </w:r>
          </w:p>
        </w:tc>
        <w:tc>
          <w:tcPr>
            <w:tcW w:w="3168" w:type="dxa"/>
          </w:tcPr>
          <w:p w:rsidR="00CF6D90" w:rsidRDefault="00CF6D9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(%)</w:t>
            </w:r>
          </w:p>
        </w:tc>
      </w:tr>
      <w:tr w:rsidR="00CF6D90" w:rsidTr="00554914">
        <w:tc>
          <w:tcPr>
            <w:tcW w:w="6408" w:type="dxa"/>
          </w:tcPr>
          <w:p w:rsidR="00CF6D90" w:rsidRDefault="00CF6D9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Welfare Reward Fund </w:t>
            </w:r>
          </w:p>
        </w:tc>
        <w:tc>
          <w:tcPr>
            <w:tcW w:w="3168" w:type="dxa"/>
          </w:tcPr>
          <w:p w:rsidR="00CF6D90" w:rsidRDefault="0055491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554914" w:rsidTr="00554914">
        <w:tc>
          <w:tcPr>
            <w:tcW w:w="6408" w:type="dxa"/>
          </w:tcPr>
          <w:p w:rsidR="00554914" w:rsidRDefault="00554914" w:rsidP="005549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Research and Development Fund </w:t>
            </w:r>
          </w:p>
        </w:tc>
        <w:tc>
          <w:tcPr>
            <w:tcW w:w="3168" w:type="dxa"/>
          </w:tcPr>
          <w:p w:rsidR="00554914" w:rsidRDefault="00554914" w:rsidP="005549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554914" w:rsidTr="00554914">
        <w:tc>
          <w:tcPr>
            <w:tcW w:w="6408" w:type="dxa"/>
          </w:tcPr>
          <w:p w:rsidR="00554914" w:rsidRDefault="00554914" w:rsidP="005549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F6A">
              <w:rPr>
                <w:rFonts w:ascii="Arial" w:hAnsi="Arial" w:cs="Arial"/>
                <w:sz w:val="20"/>
                <w:szCs w:val="20"/>
              </w:rPr>
              <w:t xml:space="preserve">Dividend distribution </w:t>
            </w:r>
          </w:p>
        </w:tc>
        <w:tc>
          <w:tcPr>
            <w:tcW w:w="3168" w:type="dxa"/>
          </w:tcPr>
          <w:p w:rsidR="00554914" w:rsidRDefault="00554914" w:rsidP="005549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554914" w:rsidTr="00554914">
        <w:tc>
          <w:tcPr>
            <w:tcW w:w="6408" w:type="dxa"/>
          </w:tcPr>
          <w:p w:rsidR="00554914" w:rsidRDefault="00554914" w:rsidP="005549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Remaining undistributed profit</w:t>
            </w:r>
          </w:p>
        </w:tc>
        <w:tc>
          <w:tcPr>
            <w:tcW w:w="3168" w:type="dxa"/>
          </w:tcPr>
          <w:p w:rsidR="00554914" w:rsidRDefault="00554914" w:rsidP="005549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40%</w:t>
            </w:r>
          </w:p>
        </w:tc>
      </w:tr>
    </w:tbl>
    <w:p w:rsidR="00CF6D90" w:rsidRDefault="00CF6D9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4914" w:rsidRDefault="0055491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4914">
        <w:rPr>
          <w:rFonts w:ascii="Arial" w:hAnsi="Arial" w:cs="Arial"/>
          <w:sz w:val="20"/>
          <w:szCs w:val="20"/>
        </w:rPr>
        <w:t>Article 4</w:t>
      </w:r>
      <w:r>
        <w:rPr>
          <w:rFonts w:ascii="Arial" w:hAnsi="Arial" w:cs="Arial"/>
          <w:sz w:val="20"/>
          <w:szCs w:val="20"/>
        </w:rPr>
        <w:t xml:space="preserve">: </w:t>
      </w:r>
      <w:r w:rsidRPr="00554914">
        <w:rPr>
          <w:rFonts w:ascii="Arial" w:hAnsi="Arial" w:cs="Arial"/>
          <w:sz w:val="20"/>
          <w:szCs w:val="20"/>
        </w:rPr>
        <w:t xml:space="preserve">Approve 2019 remuneration and remuneration plan </w:t>
      </w:r>
      <w:r>
        <w:rPr>
          <w:rFonts w:ascii="Arial" w:hAnsi="Arial" w:cs="Arial"/>
          <w:sz w:val="20"/>
          <w:szCs w:val="20"/>
        </w:rPr>
        <w:t xml:space="preserve">for </w:t>
      </w:r>
      <w:r w:rsidRPr="00554914">
        <w:rPr>
          <w:rFonts w:ascii="Arial" w:hAnsi="Arial" w:cs="Arial"/>
          <w:sz w:val="20"/>
          <w:szCs w:val="20"/>
        </w:rPr>
        <w:t xml:space="preserve">2020 </w:t>
      </w:r>
    </w:p>
    <w:p w:rsidR="00837A2F" w:rsidRDefault="0055491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4914">
        <w:rPr>
          <w:rFonts w:ascii="Arial" w:hAnsi="Arial" w:cs="Arial"/>
          <w:sz w:val="20"/>
          <w:szCs w:val="20"/>
        </w:rPr>
        <w:lastRenderedPageBreak/>
        <w:t xml:space="preserve">Remuneration paid in 2019 </w:t>
      </w:r>
    </w:p>
    <w:p w:rsidR="00837A2F" w:rsidRDefault="00837A2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54914" w:rsidRPr="00554914">
        <w:rPr>
          <w:rFonts w:ascii="Arial" w:hAnsi="Arial" w:cs="Arial"/>
          <w:sz w:val="20"/>
          <w:szCs w:val="20"/>
        </w:rPr>
        <w:t xml:space="preserve">Remuneration paid to the Board of Directors: VND 2,141,875,000 </w:t>
      </w:r>
    </w:p>
    <w:p w:rsidR="00837A2F" w:rsidRDefault="00837A2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54914" w:rsidRPr="00554914">
        <w:rPr>
          <w:rFonts w:ascii="Arial" w:hAnsi="Arial" w:cs="Arial"/>
          <w:sz w:val="20"/>
          <w:szCs w:val="20"/>
        </w:rPr>
        <w:t>Remuneration pa</w:t>
      </w:r>
      <w:r>
        <w:rPr>
          <w:rFonts w:ascii="Arial" w:hAnsi="Arial" w:cs="Arial"/>
          <w:sz w:val="20"/>
          <w:szCs w:val="20"/>
        </w:rPr>
        <w:t>id to the Supervisory Board</w:t>
      </w:r>
      <w:r w:rsidR="00554914" w:rsidRPr="0055491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VND 144,000,</w:t>
      </w:r>
      <w:r w:rsidR="00554914" w:rsidRPr="00554914">
        <w:rPr>
          <w:rFonts w:ascii="Arial" w:hAnsi="Arial" w:cs="Arial"/>
          <w:sz w:val="20"/>
          <w:szCs w:val="20"/>
        </w:rPr>
        <w:t xml:space="preserve">000 </w:t>
      </w:r>
    </w:p>
    <w:p w:rsidR="00837A2F" w:rsidRDefault="00837A2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54914" w:rsidRPr="00554914">
        <w:rPr>
          <w:rFonts w:ascii="Arial" w:hAnsi="Arial" w:cs="Arial"/>
          <w:sz w:val="20"/>
          <w:szCs w:val="20"/>
        </w:rPr>
        <w:t>The total remuneration paid to the Board of Di</w:t>
      </w:r>
      <w:r>
        <w:rPr>
          <w:rFonts w:ascii="Arial" w:hAnsi="Arial" w:cs="Arial"/>
          <w:sz w:val="20"/>
          <w:szCs w:val="20"/>
        </w:rPr>
        <w:t>rectors and Supervisory Board:</w:t>
      </w:r>
      <w:r w:rsidR="00554914" w:rsidRPr="00554914">
        <w:rPr>
          <w:rFonts w:ascii="Arial" w:hAnsi="Arial" w:cs="Arial"/>
          <w:sz w:val="20"/>
          <w:szCs w:val="20"/>
        </w:rPr>
        <w:t xml:space="preserve"> VND 2,285,875,000</w:t>
      </w:r>
    </w:p>
    <w:p w:rsidR="008F0FDD" w:rsidRDefault="0055491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4914">
        <w:rPr>
          <w:rFonts w:ascii="Arial" w:hAnsi="Arial" w:cs="Arial"/>
          <w:sz w:val="20"/>
          <w:szCs w:val="20"/>
        </w:rPr>
        <w:t xml:space="preserve">Remuneration plan for members of the Board of Directors and </w:t>
      </w:r>
      <w:r w:rsidR="008F0FDD">
        <w:rPr>
          <w:rFonts w:ascii="Arial" w:hAnsi="Arial" w:cs="Arial"/>
          <w:sz w:val="20"/>
          <w:szCs w:val="20"/>
        </w:rPr>
        <w:t>Supervisory Board</w:t>
      </w:r>
      <w:r w:rsidRPr="00554914">
        <w:rPr>
          <w:rFonts w:ascii="Arial" w:hAnsi="Arial" w:cs="Arial"/>
          <w:sz w:val="20"/>
          <w:szCs w:val="20"/>
        </w:rPr>
        <w:t xml:space="preserve"> in 2020: </w:t>
      </w:r>
    </w:p>
    <w:p w:rsidR="0000274B" w:rsidRDefault="0055491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4914">
        <w:rPr>
          <w:rFonts w:ascii="Arial" w:hAnsi="Arial" w:cs="Arial"/>
          <w:sz w:val="20"/>
          <w:szCs w:val="20"/>
        </w:rPr>
        <w:t>- Remuneration</w:t>
      </w:r>
      <w:r w:rsidR="008F0FDD">
        <w:rPr>
          <w:rFonts w:ascii="Arial" w:hAnsi="Arial" w:cs="Arial"/>
          <w:sz w:val="20"/>
          <w:szCs w:val="20"/>
        </w:rPr>
        <w:t xml:space="preserve"> of the Board of Directors: </w:t>
      </w:r>
      <w:r w:rsidR="0000274B">
        <w:rPr>
          <w:rFonts w:ascii="Arial" w:hAnsi="Arial" w:cs="Arial"/>
          <w:sz w:val="20"/>
          <w:szCs w:val="20"/>
        </w:rPr>
        <w:t>full</w:t>
      </w:r>
      <w:r w:rsidRPr="00554914">
        <w:rPr>
          <w:rFonts w:ascii="Arial" w:hAnsi="Arial" w:cs="Arial"/>
          <w:sz w:val="20"/>
          <w:szCs w:val="20"/>
        </w:rPr>
        <w:t xml:space="preserve">-time </w:t>
      </w:r>
      <w:r w:rsidR="008F0FDD">
        <w:rPr>
          <w:rFonts w:ascii="Arial" w:hAnsi="Arial" w:cs="Arial"/>
          <w:sz w:val="20"/>
          <w:szCs w:val="20"/>
        </w:rPr>
        <w:t>members of the Board of Directors</w:t>
      </w:r>
      <w:r w:rsidRPr="00554914">
        <w:rPr>
          <w:rFonts w:ascii="Arial" w:hAnsi="Arial" w:cs="Arial"/>
          <w:sz w:val="20"/>
          <w:szCs w:val="20"/>
        </w:rPr>
        <w:t xml:space="preserve"> (independent members) receive a remuneration of </w:t>
      </w:r>
      <w:r w:rsidR="008F0FDD" w:rsidRPr="00554914">
        <w:rPr>
          <w:rFonts w:ascii="Arial" w:hAnsi="Arial" w:cs="Arial"/>
          <w:sz w:val="20"/>
          <w:szCs w:val="20"/>
        </w:rPr>
        <w:t xml:space="preserve">VND </w:t>
      </w:r>
      <w:r w:rsidRPr="00554914">
        <w:rPr>
          <w:rFonts w:ascii="Arial" w:hAnsi="Arial" w:cs="Arial"/>
          <w:sz w:val="20"/>
          <w:szCs w:val="20"/>
        </w:rPr>
        <w:t>25,000,000</w:t>
      </w:r>
      <w:r w:rsidR="008F0FDD">
        <w:rPr>
          <w:rFonts w:ascii="Arial" w:hAnsi="Arial" w:cs="Arial"/>
          <w:sz w:val="20"/>
          <w:szCs w:val="20"/>
        </w:rPr>
        <w:t>/person/month; p</w:t>
      </w:r>
      <w:r w:rsidRPr="00554914">
        <w:rPr>
          <w:rFonts w:ascii="Arial" w:hAnsi="Arial" w:cs="Arial"/>
          <w:sz w:val="20"/>
          <w:szCs w:val="20"/>
        </w:rPr>
        <w:t>art-time members of the Board of Directors receive</w:t>
      </w:r>
      <w:r w:rsidR="0000274B">
        <w:rPr>
          <w:rFonts w:ascii="Arial" w:hAnsi="Arial" w:cs="Arial"/>
          <w:sz w:val="20"/>
          <w:szCs w:val="20"/>
        </w:rPr>
        <w:t xml:space="preserve"> a remuneration of VND 12,500,000/person/month (equal to 50% of the full-time members)</w:t>
      </w:r>
    </w:p>
    <w:p w:rsidR="007B27CD" w:rsidRDefault="0055491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4914">
        <w:rPr>
          <w:rFonts w:ascii="Arial" w:hAnsi="Arial" w:cs="Arial"/>
          <w:sz w:val="20"/>
          <w:szCs w:val="20"/>
        </w:rPr>
        <w:t>- Remuneration of th</w:t>
      </w:r>
      <w:r w:rsidR="007B27CD">
        <w:rPr>
          <w:rFonts w:ascii="Arial" w:hAnsi="Arial" w:cs="Arial"/>
          <w:sz w:val="20"/>
          <w:szCs w:val="20"/>
        </w:rPr>
        <w:t>e Supervisory Board: full</w:t>
      </w:r>
      <w:r w:rsidRPr="00554914">
        <w:rPr>
          <w:rFonts w:ascii="Arial" w:hAnsi="Arial" w:cs="Arial"/>
          <w:sz w:val="20"/>
          <w:szCs w:val="20"/>
        </w:rPr>
        <w:t xml:space="preserve">-time </w:t>
      </w:r>
      <w:r w:rsidR="007B27CD" w:rsidRPr="00554914">
        <w:rPr>
          <w:rFonts w:ascii="Arial" w:hAnsi="Arial" w:cs="Arial"/>
          <w:sz w:val="20"/>
          <w:szCs w:val="20"/>
        </w:rPr>
        <w:t xml:space="preserve">members </w:t>
      </w:r>
      <w:r w:rsidR="007B27CD">
        <w:rPr>
          <w:rFonts w:ascii="Arial" w:hAnsi="Arial" w:cs="Arial"/>
          <w:sz w:val="20"/>
          <w:szCs w:val="20"/>
        </w:rPr>
        <w:t xml:space="preserve">of the </w:t>
      </w:r>
      <w:r w:rsidRPr="00554914">
        <w:rPr>
          <w:rFonts w:ascii="Arial" w:hAnsi="Arial" w:cs="Arial"/>
          <w:sz w:val="20"/>
          <w:szCs w:val="20"/>
        </w:rPr>
        <w:t xml:space="preserve">Supervisory Board receive </w:t>
      </w:r>
      <w:r w:rsidR="007B27CD">
        <w:rPr>
          <w:rFonts w:ascii="Arial" w:hAnsi="Arial" w:cs="Arial"/>
          <w:sz w:val="20"/>
          <w:szCs w:val="20"/>
        </w:rPr>
        <w:t xml:space="preserve">a </w:t>
      </w:r>
      <w:r w:rsidRPr="00554914">
        <w:rPr>
          <w:rFonts w:ascii="Arial" w:hAnsi="Arial" w:cs="Arial"/>
          <w:sz w:val="20"/>
          <w:szCs w:val="20"/>
        </w:rPr>
        <w:t>remuneration of VND 20,000,000</w:t>
      </w:r>
      <w:r w:rsidR="007B27CD">
        <w:rPr>
          <w:rFonts w:ascii="Arial" w:hAnsi="Arial" w:cs="Arial"/>
          <w:sz w:val="20"/>
          <w:szCs w:val="20"/>
        </w:rPr>
        <w:t xml:space="preserve">/person/month; </w:t>
      </w:r>
      <w:r w:rsidRPr="00554914">
        <w:rPr>
          <w:rFonts w:ascii="Arial" w:hAnsi="Arial" w:cs="Arial"/>
          <w:sz w:val="20"/>
          <w:szCs w:val="20"/>
        </w:rPr>
        <w:t xml:space="preserve">part-time members receive </w:t>
      </w:r>
      <w:r w:rsidR="007B27CD">
        <w:rPr>
          <w:rFonts w:ascii="Arial" w:hAnsi="Arial" w:cs="Arial"/>
          <w:sz w:val="20"/>
          <w:szCs w:val="20"/>
        </w:rPr>
        <w:t>a remuneration of VND 4,000,000/person/</w:t>
      </w:r>
      <w:r w:rsidRPr="00554914">
        <w:rPr>
          <w:rFonts w:ascii="Arial" w:hAnsi="Arial" w:cs="Arial"/>
          <w:sz w:val="20"/>
          <w:szCs w:val="20"/>
        </w:rPr>
        <w:t xml:space="preserve">month (equal to 20% of </w:t>
      </w:r>
      <w:r w:rsidR="007B27CD">
        <w:rPr>
          <w:rFonts w:ascii="Arial" w:hAnsi="Arial" w:cs="Arial"/>
          <w:sz w:val="20"/>
          <w:szCs w:val="20"/>
        </w:rPr>
        <w:t>full-time members)</w:t>
      </w:r>
    </w:p>
    <w:p w:rsidR="007B27CD" w:rsidRDefault="0055491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4914">
        <w:rPr>
          <w:rFonts w:ascii="Arial" w:hAnsi="Arial" w:cs="Arial"/>
          <w:sz w:val="20"/>
          <w:szCs w:val="20"/>
        </w:rPr>
        <w:t xml:space="preserve">Reward level for 2020: </w:t>
      </w:r>
    </w:p>
    <w:p w:rsidR="00A06C81" w:rsidRDefault="0055491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4914">
        <w:rPr>
          <w:rFonts w:ascii="Arial" w:hAnsi="Arial" w:cs="Arial"/>
          <w:sz w:val="20"/>
          <w:szCs w:val="20"/>
        </w:rPr>
        <w:t>- Fai</w:t>
      </w:r>
      <w:r w:rsidR="00A06C81">
        <w:rPr>
          <w:rFonts w:ascii="Arial" w:hAnsi="Arial" w:cs="Arial"/>
          <w:sz w:val="20"/>
          <w:szCs w:val="20"/>
        </w:rPr>
        <w:t>lure to complete the plan: no bonus</w:t>
      </w:r>
    </w:p>
    <w:p w:rsidR="00A06C81" w:rsidRDefault="0055491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4914">
        <w:rPr>
          <w:rFonts w:ascii="Arial" w:hAnsi="Arial" w:cs="Arial"/>
          <w:sz w:val="20"/>
          <w:szCs w:val="20"/>
        </w:rPr>
        <w:t xml:space="preserve">- If the plan is reached, the reward level for the Board of Directors, the Supervisory Board, the </w:t>
      </w:r>
      <w:r w:rsidR="00A06C81">
        <w:rPr>
          <w:rFonts w:ascii="Arial" w:hAnsi="Arial" w:cs="Arial"/>
          <w:sz w:val="20"/>
          <w:szCs w:val="20"/>
        </w:rPr>
        <w:t>Management Board and employees: 8% of profit after tax</w:t>
      </w:r>
    </w:p>
    <w:p w:rsidR="00A06C81" w:rsidRDefault="00A06C8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54914" w:rsidRPr="00554914">
        <w:rPr>
          <w:rFonts w:ascii="Arial" w:hAnsi="Arial" w:cs="Arial"/>
          <w:sz w:val="20"/>
          <w:szCs w:val="20"/>
        </w:rPr>
        <w:t xml:space="preserve"> If exceeding the plan, the reward rate for the Board of Directors, the Supervisory Board, the </w:t>
      </w:r>
      <w:r>
        <w:rPr>
          <w:rFonts w:ascii="Arial" w:hAnsi="Arial" w:cs="Arial"/>
          <w:sz w:val="20"/>
          <w:szCs w:val="20"/>
        </w:rPr>
        <w:t>Management Board and employees: 15% of the profit after tax</w:t>
      </w:r>
    </w:p>
    <w:p w:rsidR="00554914" w:rsidRDefault="0055491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4914">
        <w:rPr>
          <w:rFonts w:ascii="Arial" w:hAnsi="Arial" w:cs="Arial"/>
          <w:sz w:val="20"/>
          <w:szCs w:val="20"/>
        </w:rPr>
        <w:t>Article 5</w:t>
      </w:r>
      <w:r w:rsidR="00A06C81">
        <w:rPr>
          <w:rFonts w:ascii="Arial" w:hAnsi="Arial" w:cs="Arial"/>
          <w:sz w:val="20"/>
          <w:szCs w:val="20"/>
        </w:rPr>
        <w:t>:</w:t>
      </w:r>
      <w:r w:rsidRPr="00554914">
        <w:rPr>
          <w:rFonts w:ascii="Arial" w:hAnsi="Arial" w:cs="Arial"/>
          <w:sz w:val="20"/>
          <w:szCs w:val="20"/>
        </w:rPr>
        <w:t xml:space="preserve"> Authorizing the Board of Directors to select one of the </w:t>
      </w:r>
      <w:r w:rsidR="004D6F8F">
        <w:rPr>
          <w:rFonts w:ascii="Arial" w:hAnsi="Arial" w:cs="Arial"/>
          <w:sz w:val="20"/>
          <w:szCs w:val="20"/>
        </w:rPr>
        <w:t xml:space="preserve">following </w:t>
      </w:r>
      <w:r w:rsidRPr="00554914">
        <w:rPr>
          <w:rFonts w:ascii="Arial" w:hAnsi="Arial" w:cs="Arial"/>
          <w:sz w:val="20"/>
          <w:szCs w:val="20"/>
        </w:rPr>
        <w:t xml:space="preserve">auditing companies: KPMG Vietnam Co., Ltd, Ernst &amp; Young Vietnam Co., Ltd, PwC Vietnam Co., </w:t>
      </w:r>
      <w:r w:rsidR="004D6F8F">
        <w:rPr>
          <w:rFonts w:ascii="Arial" w:hAnsi="Arial" w:cs="Arial"/>
          <w:sz w:val="20"/>
          <w:szCs w:val="20"/>
        </w:rPr>
        <w:t>Ltd, and Deloitte Vietnam Co., Ltd to audit the financial statement of 2020</w:t>
      </w:r>
    </w:p>
    <w:p w:rsidR="004D6F8F" w:rsidRDefault="004D6F8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6: Approve amendments to the Charter of </w:t>
      </w:r>
      <w:r w:rsidRPr="004D6F8F">
        <w:rPr>
          <w:rFonts w:ascii="Arial" w:hAnsi="Arial" w:cs="Arial"/>
          <w:sz w:val="20"/>
          <w:szCs w:val="20"/>
        </w:rPr>
        <w:t xml:space="preserve">Minh </w:t>
      </w:r>
      <w:proofErr w:type="spellStart"/>
      <w:r w:rsidRPr="004D6F8F">
        <w:rPr>
          <w:rFonts w:ascii="Arial" w:hAnsi="Arial" w:cs="Arial"/>
          <w:sz w:val="20"/>
          <w:szCs w:val="20"/>
        </w:rPr>
        <w:t>Phu</w:t>
      </w:r>
      <w:proofErr w:type="spellEnd"/>
      <w:r w:rsidRPr="004D6F8F">
        <w:rPr>
          <w:rFonts w:ascii="Arial" w:hAnsi="Arial" w:cs="Arial"/>
          <w:sz w:val="20"/>
          <w:szCs w:val="20"/>
        </w:rPr>
        <w:t xml:space="preserve"> Seafood Corp.</w:t>
      </w:r>
    </w:p>
    <w:p w:rsidR="004D6F8F" w:rsidRDefault="004D6F8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7: Approve the operation plan for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4350"/>
        <w:gridCol w:w="2377"/>
        <w:gridCol w:w="2377"/>
      </w:tblGrid>
      <w:tr w:rsidR="00A15326" w:rsidTr="00A15326">
        <w:tc>
          <w:tcPr>
            <w:tcW w:w="472" w:type="dxa"/>
          </w:tcPr>
          <w:p w:rsidR="00A15326" w:rsidRDefault="00A1532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350" w:type="dxa"/>
          </w:tcPr>
          <w:p w:rsidR="00A15326" w:rsidRDefault="00A1532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2377" w:type="dxa"/>
          </w:tcPr>
          <w:p w:rsidR="00A15326" w:rsidRDefault="00A1532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2377" w:type="dxa"/>
          </w:tcPr>
          <w:p w:rsidR="00A15326" w:rsidRDefault="00A1532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for 2020</w:t>
            </w:r>
          </w:p>
        </w:tc>
      </w:tr>
      <w:tr w:rsidR="00A15326" w:rsidTr="00A15326">
        <w:tc>
          <w:tcPr>
            <w:tcW w:w="472" w:type="dxa"/>
          </w:tcPr>
          <w:p w:rsidR="00A15326" w:rsidRDefault="00A1532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50" w:type="dxa"/>
          </w:tcPr>
          <w:p w:rsidR="00A15326" w:rsidRDefault="00A1532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326">
              <w:rPr>
                <w:rFonts w:ascii="Arial" w:hAnsi="Arial" w:cs="Arial"/>
                <w:sz w:val="20"/>
                <w:szCs w:val="20"/>
              </w:rPr>
              <w:t>Export output</w:t>
            </w:r>
          </w:p>
        </w:tc>
        <w:tc>
          <w:tcPr>
            <w:tcW w:w="2377" w:type="dxa"/>
          </w:tcPr>
          <w:p w:rsidR="00A15326" w:rsidRDefault="00A1532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</w:t>
            </w:r>
          </w:p>
        </w:tc>
        <w:tc>
          <w:tcPr>
            <w:tcW w:w="2377" w:type="dxa"/>
          </w:tcPr>
          <w:p w:rsidR="00A15326" w:rsidRDefault="007A0BA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56,700.</w:t>
            </w:r>
            <w:r w:rsidR="00114A0D" w:rsidRPr="00A1532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A15326" w:rsidTr="00A15326">
        <w:tc>
          <w:tcPr>
            <w:tcW w:w="472" w:type="dxa"/>
          </w:tcPr>
          <w:p w:rsidR="00A15326" w:rsidRDefault="00A1532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50" w:type="dxa"/>
          </w:tcPr>
          <w:p w:rsidR="00A15326" w:rsidRDefault="00A1532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326">
              <w:rPr>
                <w:rFonts w:ascii="Arial" w:hAnsi="Arial" w:cs="Arial"/>
                <w:sz w:val="20"/>
                <w:szCs w:val="20"/>
              </w:rPr>
              <w:t>Export value</w:t>
            </w:r>
          </w:p>
        </w:tc>
        <w:tc>
          <w:tcPr>
            <w:tcW w:w="2377" w:type="dxa"/>
          </w:tcPr>
          <w:p w:rsidR="00A15326" w:rsidRDefault="00A1532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USD million</w:t>
            </w:r>
          </w:p>
        </w:tc>
        <w:tc>
          <w:tcPr>
            <w:tcW w:w="2377" w:type="dxa"/>
          </w:tcPr>
          <w:p w:rsidR="00A15326" w:rsidRDefault="007A0BA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638.</w:t>
            </w:r>
            <w:r w:rsidR="00114A0D" w:rsidRPr="00A1532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A15326" w:rsidTr="00A15326">
        <w:tc>
          <w:tcPr>
            <w:tcW w:w="472" w:type="dxa"/>
          </w:tcPr>
          <w:p w:rsidR="00A15326" w:rsidRDefault="00A1532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50" w:type="dxa"/>
          </w:tcPr>
          <w:p w:rsidR="00A15326" w:rsidRDefault="00A15326" w:rsidP="00A153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Revenue </w:t>
            </w:r>
          </w:p>
        </w:tc>
        <w:tc>
          <w:tcPr>
            <w:tcW w:w="2377" w:type="dxa"/>
          </w:tcPr>
          <w:p w:rsidR="00A15326" w:rsidRDefault="00A1532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2377" w:type="dxa"/>
          </w:tcPr>
          <w:p w:rsidR="00A15326" w:rsidRDefault="007A0BA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15,206.</w:t>
            </w:r>
            <w:r w:rsidR="00114A0D" w:rsidRPr="00A1532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A15326" w:rsidTr="00A15326">
        <w:tc>
          <w:tcPr>
            <w:tcW w:w="472" w:type="dxa"/>
          </w:tcPr>
          <w:p w:rsidR="00A15326" w:rsidRDefault="00A15326" w:rsidP="00A153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50" w:type="dxa"/>
          </w:tcPr>
          <w:p w:rsidR="00A15326" w:rsidRDefault="00A15326" w:rsidP="00A153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326"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2377" w:type="dxa"/>
          </w:tcPr>
          <w:p w:rsidR="00A15326" w:rsidRDefault="00A15326" w:rsidP="00A15326">
            <w:r w:rsidRPr="00023BC2"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2377" w:type="dxa"/>
          </w:tcPr>
          <w:p w:rsidR="00A15326" w:rsidRDefault="007A0BAA" w:rsidP="00A153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994.</w:t>
            </w:r>
            <w:r w:rsidR="00114A0D" w:rsidRPr="00A1532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A15326" w:rsidTr="00A15326">
        <w:tc>
          <w:tcPr>
            <w:tcW w:w="472" w:type="dxa"/>
          </w:tcPr>
          <w:p w:rsidR="00A15326" w:rsidRDefault="00A15326" w:rsidP="00A153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0" w:type="dxa"/>
          </w:tcPr>
          <w:p w:rsidR="00A15326" w:rsidRDefault="00C363B8" w:rsidP="00C363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326">
              <w:rPr>
                <w:rFonts w:ascii="Arial" w:hAnsi="Arial" w:cs="Arial"/>
                <w:sz w:val="20"/>
                <w:szCs w:val="20"/>
              </w:rPr>
              <w:t xml:space="preserve">4.1 Minh </w:t>
            </w:r>
            <w:proofErr w:type="spellStart"/>
            <w:r w:rsidRPr="00A15326">
              <w:rPr>
                <w:rFonts w:ascii="Arial" w:hAnsi="Arial" w:cs="Arial"/>
                <w:sz w:val="20"/>
                <w:szCs w:val="20"/>
              </w:rPr>
              <w:t>Phu</w:t>
            </w:r>
            <w:proofErr w:type="spellEnd"/>
            <w:r w:rsidRPr="00A15326">
              <w:rPr>
                <w:rFonts w:ascii="Arial" w:hAnsi="Arial" w:cs="Arial"/>
                <w:sz w:val="20"/>
                <w:szCs w:val="20"/>
              </w:rPr>
              <w:t xml:space="preserve"> Ca Mau</w:t>
            </w:r>
          </w:p>
        </w:tc>
        <w:tc>
          <w:tcPr>
            <w:tcW w:w="2377" w:type="dxa"/>
          </w:tcPr>
          <w:p w:rsidR="00A15326" w:rsidRDefault="00A15326" w:rsidP="00A15326">
            <w:r w:rsidRPr="00023BC2"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2377" w:type="dxa"/>
          </w:tcPr>
          <w:p w:rsidR="00A15326" w:rsidRDefault="007A0BAA" w:rsidP="00A153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554.</w:t>
            </w:r>
            <w:r w:rsidR="00114A0D" w:rsidRPr="00A1532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A15326" w:rsidTr="00A15326">
        <w:tc>
          <w:tcPr>
            <w:tcW w:w="472" w:type="dxa"/>
          </w:tcPr>
          <w:p w:rsidR="00A15326" w:rsidRDefault="00A15326" w:rsidP="00A153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0" w:type="dxa"/>
          </w:tcPr>
          <w:p w:rsidR="00A15326" w:rsidRDefault="00C363B8" w:rsidP="00A153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  <w:r w:rsidRPr="00A15326">
              <w:rPr>
                <w:rFonts w:ascii="Arial" w:hAnsi="Arial" w:cs="Arial"/>
                <w:sz w:val="20"/>
                <w:szCs w:val="20"/>
              </w:rPr>
              <w:t xml:space="preserve"> Minh </w:t>
            </w:r>
            <w:proofErr w:type="spellStart"/>
            <w:r w:rsidRPr="00A15326">
              <w:rPr>
                <w:rFonts w:ascii="Arial" w:hAnsi="Arial" w:cs="Arial"/>
                <w:sz w:val="20"/>
                <w:szCs w:val="20"/>
              </w:rPr>
              <w:t>Phu</w:t>
            </w:r>
            <w:proofErr w:type="spellEnd"/>
            <w:r w:rsidRPr="00A153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5326">
              <w:rPr>
                <w:rFonts w:ascii="Arial" w:hAnsi="Arial" w:cs="Arial"/>
                <w:sz w:val="20"/>
                <w:szCs w:val="20"/>
              </w:rPr>
              <w:t>Hau</w:t>
            </w:r>
            <w:proofErr w:type="spellEnd"/>
            <w:r w:rsidRPr="00A15326">
              <w:rPr>
                <w:rFonts w:ascii="Arial" w:hAnsi="Arial" w:cs="Arial"/>
                <w:sz w:val="20"/>
                <w:szCs w:val="20"/>
              </w:rPr>
              <w:t xml:space="preserve"> Giang</w:t>
            </w:r>
          </w:p>
        </w:tc>
        <w:tc>
          <w:tcPr>
            <w:tcW w:w="2377" w:type="dxa"/>
          </w:tcPr>
          <w:p w:rsidR="00A15326" w:rsidRDefault="00A15326" w:rsidP="00A15326">
            <w:r w:rsidRPr="00337903"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2377" w:type="dxa"/>
          </w:tcPr>
          <w:p w:rsidR="00A15326" w:rsidRDefault="007A0BAA" w:rsidP="00A153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147.</w:t>
            </w:r>
            <w:r w:rsidR="00114A0D" w:rsidRPr="00A1532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A15326" w:rsidTr="00A15326">
        <w:tc>
          <w:tcPr>
            <w:tcW w:w="472" w:type="dxa"/>
          </w:tcPr>
          <w:p w:rsidR="00A15326" w:rsidRDefault="00A15326" w:rsidP="00A153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0" w:type="dxa"/>
          </w:tcPr>
          <w:p w:rsidR="00A15326" w:rsidRDefault="00C363B8" w:rsidP="00A153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  <w:r w:rsidRPr="00A15326">
              <w:rPr>
                <w:rFonts w:ascii="Arial" w:hAnsi="Arial" w:cs="Arial"/>
                <w:sz w:val="20"/>
                <w:szCs w:val="20"/>
              </w:rPr>
              <w:t xml:space="preserve"> Shrimp farming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532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15326">
              <w:rPr>
                <w:rFonts w:ascii="Arial" w:hAnsi="Arial" w:cs="Arial"/>
                <w:sz w:val="20"/>
                <w:szCs w:val="20"/>
              </w:rPr>
              <w:t>Loc</w:t>
            </w:r>
            <w:proofErr w:type="spellEnd"/>
            <w:r w:rsidRPr="00A15326">
              <w:rPr>
                <w:rFonts w:ascii="Arial" w:hAnsi="Arial" w:cs="Arial"/>
                <w:sz w:val="20"/>
                <w:szCs w:val="20"/>
              </w:rPr>
              <w:t xml:space="preserve"> An, Kien Giang)</w:t>
            </w:r>
          </w:p>
        </w:tc>
        <w:tc>
          <w:tcPr>
            <w:tcW w:w="2377" w:type="dxa"/>
          </w:tcPr>
          <w:p w:rsidR="00A15326" w:rsidRDefault="00A15326" w:rsidP="00A15326">
            <w:r w:rsidRPr="00337903"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2377" w:type="dxa"/>
          </w:tcPr>
          <w:p w:rsidR="00A15326" w:rsidRDefault="007A0BAA" w:rsidP="00A153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252.</w:t>
            </w:r>
            <w:r w:rsidR="00114A0D" w:rsidRPr="00A1532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A15326" w:rsidTr="00A15326">
        <w:tc>
          <w:tcPr>
            <w:tcW w:w="472" w:type="dxa"/>
          </w:tcPr>
          <w:p w:rsidR="00A15326" w:rsidRDefault="00A15326" w:rsidP="00A153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0" w:type="dxa"/>
          </w:tcPr>
          <w:p w:rsidR="00A15326" w:rsidRDefault="00C363B8" w:rsidP="00C363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4.4 </w:t>
            </w:r>
            <w:r w:rsidRPr="00A15326">
              <w:rPr>
                <w:rFonts w:ascii="Arial" w:hAnsi="Arial" w:cs="Arial"/>
                <w:sz w:val="20"/>
                <w:szCs w:val="20"/>
              </w:rPr>
              <w:t>Seed</w:t>
            </w:r>
          </w:p>
        </w:tc>
        <w:tc>
          <w:tcPr>
            <w:tcW w:w="2377" w:type="dxa"/>
          </w:tcPr>
          <w:p w:rsidR="00A15326" w:rsidRDefault="00A15326" w:rsidP="00A15326">
            <w:r w:rsidRPr="00337903"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2377" w:type="dxa"/>
          </w:tcPr>
          <w:p w:rsidR="00A15326" w:rsidRDefault="007A0BAA" w:rsidP="00A153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114A0D" w:rsidRPr="00A1532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A15326" w:rsidTr="00A15326">
        <w:tc>
          <w:tcPr>
            <w:tcW w:w="472" w:type="dxa"/>
          </w:tcPr>
          <w:p w:rsidR="00A15326" w:rsidRDefault="00A15326" w:rsidP="00A153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0" w:type="dxa"/>
          </w:tcPr>
          <w:p w:rsidR="00A15326" w:rsidRDefault="00C363B8" w:rsidP="00C363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  <w:r w:rsidRPr="00A15326">
              <w:rPr>
                <w:rFonts w:ascii="Arial" w:hAnsi="Arial" w:cs="Arial"/>
                <w:sz w:val="20"/>
                <w:szCs w:val="20"/>
              </w:rPr>
              <w:t xml:space="preserve"> Supply chain </w:t>
            </w:r>
          </w:p>
        </w:tc>
        <w:tc>
          <w:tcPr>
            <w:tcW w:w="2377" w:type="dxa"/>
          </w:tcPr>
          <w:p w:rsidR="00A15326" w:rsidRDefault="00A15326" w:rsidP="00A15326">
            <w:r w:rsidRPr="00337903"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2377" w:type="dxa"/>
          </w:tcPr>
          <w:p w:rsidR="00A15326" w:rsidRDefault="00114A0D" w:rsidP="007A0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326">
              <w:rPr>
                <w:rFonts w:ascii="Arial" w:hAnsi="Arial" w:cs="Arial"/>
                <w:sz w:val="20"/>
                <w:szCs w:val="20"/>
              </w:rPr>
              <w:t>33</w:t>
            </w:r>
            <w:r w:rsidR="007A0BAA">
              <w:rPr>
                <w:rFonts w:ascii="Arial" w:hAnsi="Arial" w:cs="Arial"/>
                <w:sz w:val="20"/>
                <w:szCs w:val="20"/>
              </w:rPr>
              <w:t>.</w:t>
            </w:r>
            <w:r w:rsidRPr="00A1532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C363B8" w:rsidTr="00A15326">
        <w:tc>
          <w:tcPr>
            <w:tcW w:w="472" w:type="dxa"/>
          </w:tcPr>
          <w:p w:rsidR="00C363B8" w:rsidRDefault="00C363B8" w:rsidP="00C363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0" w:type="dxa"/>
          </w:tcPr>
          <w:p w:rsidR="00C363B8" w:rsidRDefault="00C363B8" w:rsidP="00C363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4.6 </w:t>
            </w:r>
            <w:r w:rsidRPr="00A15326">
              <w:rPr>
                <w:rFonts w:ascii="Arial" w:hAnsi="Arial" w:cs="Arial"/>
                <w:sz w:val="20"/>
                <w:szCs w:val="20"/>
              </w:rPr>
              <w:t>BIO</w:t>
            </w:r>
          </w:p>
        </w:tc>
        <w:tc>
          <w:tcPr>
            <w:tcW w:w="2377" w:type="dxa"/>
          </w:tcPr>
          <w:p w:rsidR="00C363B8" w:rsidRDefault="00C363B8" w:rsidP="00C363B8">
            <w:r w:rsidRPr="00337903"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2377" w:type="dxa"/>
          </w:tcPr>
          <w:p w:rsidR="00C363B8" w:rsidRDefault="007A0BAA" w:rsidP="00C363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A1532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C363B8" w:rsidTr="00A15326">
        <w:tc>
          <w:tcPr>
            <w:tcW w:w="472" w:type="dxa"/>
          </w:tcPr>
          <w:p w:rsidR="00C363B8" w:rsidRDefault="00C363B8" w:rsidP="00C363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0" w:type="dxa"/>
          </w:tcPr>
          <w:p w:rsidR="00C363B8" w:rsidRDefault="00C363B8" w:rsidP="00C363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  <w:r w:rsidRPr="00A15326">
              <w:rPr>
                <w:rFonts w:ascii="Arial" w:hAnsi="Arial" w:cs="Arial"/>
                <w:sz w:val="20"/>
                <w:szCs w:val="20"/>
              </w:rPr>
              <w:t xml:space="preserve"> Domestic</w:t>
            </w:r>
          </w:p>
        </w:tc>
        <w:tc>
          <w:tcPr>
            <w:tcW w:w="2377" w:type="dxa"/>
          </w:tcPr>
          <w:p w:rsidR="00C363B8" w:rsidRDefault="00C363B8" w:rsidP="00C363B8">
            <w:r w:rsidRPr="00337903"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2377" w:type="dxa"/>
          </w:tcPr>
          <w:p w:rsidR="00C363B8" w:rsidRDefault="007A0BAA" w:rsidP="00C363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A15326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C363B8" w:rsidTr="00A15326">
        <w:tc>
          <w:tcPr>
            <w:tcW w:w="472" w:type="dxa"/>
          </w:tcPr>
          <w:p w:rsidR="00C363B8" w:rsidRDefault="00C363B8" w:rsidP="00C363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50" w:type="dxa"/>
          </w:tcPr>
          <w:p w:rsidR="00C363B8" w:rsidRDefault="00C363B8" w:rsidP="00C363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326">
              <w:rPr>
                <w:rFonts w:ascii="Arial" w:hAnsi="Arial" w:cs="Arial"/>
                <w:sz w:val="20"/>
                <w:szCs w:val="20"/>
              </w:rPr>
              <w:t>Profit after tax</w:t>
            </w:r>
          </w:p>
        </w:tc>
        <w:tc>
          <w:tcPr>
            <w:tcW w:w="2377" w:type="dxa"/>
          </w:tcPr>
          <w:p w:rsidR="00C363B8" w:rsidRDefault="00C363B8" w:rsidP="00C363B8">
            <w:r w:rsidRPr="00337903"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2377" w:type="dxa"/>
          </w:tcPr>
          <w:p w:rsidR="00C363B8" w:rsidRDefault="007A0BAA" w:rsidP="00C363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915.</w:t>
            </w:r>
            <w:r w:rsidR="00114A0D" w:rsidRPr="00A1532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:rsidR="007A0BAA" w:rsidRDefault="007A0BA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2257" w:rsidRDefault="00A153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5326">
        <w:rPr>
          <w:rFonts w:ascii="Arial" w:hAnsi="Arial" w:cs="Arial"/>
          <w:sz w:val="20"/>
          <w:szCs w:val="20"/>
        </w:rPr>
        <w:t>Article 8</w:t>
      </w:r>
      <w:r w:rsidR="007A0BAA">
        <w:rPr>
          <w:rFonts w:ascii="Arial" w:hAnsi="Arial" w:cs="Arial"/>
          <w:sz w:val="20"/>
          <w:szCs w:val="20"/>
        </w:rPr>
        <w:t>:</w:t>
      </w:r>
      <w:r w:rsidRPr="00A15326">
        <w:rPr>
          <w:rFonts w:ascii="Arial" w:hAnsi="Arial" w:cs="Arial"/>
          <w:sz w:val="20"/>
          <w:szCs w:val="20"/>
        </w:rPr>
        <w:t xml:space="preserve"> Approval o</w:t>
      </w:r>
      <w:r w:rsidR="009D2257">
        <w:rPr>
          <w:rFonts w:ascii="Arial" w:hAnsi="Arial" w:cs="Arial"/>
          <w:sz w:val="20"/>
          <w:szCs w:val="20"/>
        </w:rPr>
        <w:t xml:space="preserve">f share issuance plan </w:t>
      </w:r>
      <w:r w:rsidRPr="00A15326">
        <w:rPr>
          <w:rFonts w:ascii="Arial" w:hAnsi="Arial" w:cs="Arial"/>
          <w:sz w:val="20"/>
          <w:szCs w:val="20"/>
        </w:rPr>
        <w:t xml:space="preserve">under the employee </w:t>
      </w:r>
      <w:r w:rsidR="009D2257">
        <w:rPr>
          <w:rFonts w:ascii="Arial" w:hAnsi="Arial" w:cs="Arial"/>
          <w:sz w:val="20"/>
          <w:szCs w:val="20"/>
        </w:rPr>
        <w:t>stock</w:t>
      </w:r>
      <w:r w:rsidRPr="00A15326">
        <w:rPr>
          <w:rFonts w:ascii="Arial" w:hAnsi="Arial" w:cs="Arial"/>
          <w:sz w:val="20"/>
          <w:szCs w:val="20"/>
        </w:rPr>
        <w:t xml:space="preserve"> </w:t>
      </w:r>
      <w:r w:rsidR="009D2257">
        <w:rPr>
          <w:rFonts w:ascii="Arial" w:hAnsi="Arial" w:cs="Arial"/>
          <w:sz w:val="20"/>
          <w:szCs w:val="20"/>
        </w:rPr>
        <w:t>ownership plan (ESOP)</w:t>
      </w:r>
    </w:p>
    <w:p w:rsidR="00D42026" w:rsidRDefault="00A153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5326">
        <w:rPr>
          <w:rFonts w:ascii="Arial" w:hAnsi="Arial" w:cs="Arial"/>
          <w:sz w:val="20"/>
          <w:szCs w:val="20"/>
        </w:rPr>
        <w:t>Article 9</w:t>
      </w:r>
      <w:r w:rsidR="009D2257">
        <w:rPr>
          <w:rFonts w:ascii="Arial" w:hAnsi="Arial" w:cs="Arial"/>
          <w:sz w:val="20"/>
          <w:szCs w:val="20"/>
        </w:rPr>
        <w:t>:</w:t>
      </w:r>
      <w:r w:rsidRPr="00A15326">
        <w:rPr>
          <w:rFonts w:ascii="Arial" w:hAnsi="Arial" w:cs="Arial"/>
          <w:sz w:val="20"/>
          <w:szCs w:val="20"/>
        </w:rPr>
        <w:t xml:space="preserve"> Approval of dismissal of Mr. </w:t>
      </w:r>
      <w:proofErr w:type="spellStart"/>
      <w:r w:rsidR="00D42026">
        <w:rPr>
          <w:rFonts w:ascii="Arial" w:hAnsi="Arial" w:cs="Arial"/>
          <w:sz w:val="20"/>
          <w:szCs w:val="20"/>
        </w:rPr>
        <w:t>T</w:t>
      </w:r>
      <w:r w:rsidRPr="00A15326">
        <w:rPr>
          <w:rFonts w:ascii="Arial" w:hAnsi="Arial" w:cs="Arial"/>
          <w:sz w:val="20"/>
          <w:szCs w:val="20"/>
        </w:rPr>
        <w:t>sukahara</w:t>
      </w:r>
      <w:proofErr w:type="spellEnd"/>
      <w:r w:rsidRPr="00A15326">
        <w:rPr>
          <w:rFonts w:ascii="Arial" w:hAnsi="Arial" w:cs="Arial"/>
          <w:sz w:val="20"/>
          <w:szCs w:val="20"/>
        </w:rPr>
        <w:t xml:space="preserve"> Keiichi's </w:t>
      </w:r>
      <w:r w:rsidR="00D42026">
        <w:rPr>
          <w:rFonts w:ascii="Arial" w:hAnsi="Arial" w:cs="Arial"/>
          <w:sz w:val="20"/>
          <w:szCs w:val="20"/>
        </w:rPr>
        <w:t xml:space="preserve">from member of the Board of Directors </w:t>
      </w:r>
    </w:p>
    <w:p w:rsidR="00D42026" w:rsidRDefault="00D420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10:</w:t>
      </w:r>
      <w:r w:rsidR="00A15326" w:rsidRPr="00A15326">
        <w:rPr>
          <w:rFonts w:ascii="Arial" w:hAnsi="Arial" w:cs="Arial"/>
          <w:sz w:val="20"/>
          <w:szCs w:val="20"/>
        </w:rPr>
        <w:t xml:space="preserve"> Approving the list of candidates for the Board of Directors and election of Mr. Nagoya Yutak</w:t>
      </w:r>
      <w:r>
        <w:rPr>
          <w:rFonts w:ascii="Arial" w:hAnsi="Arial" w:cs="Arial"/>
          <w:sz w:val="20"/>
          <w:szCs w:val="20"/>
        </w:rPr>
        <w:t>a to position of</w:t>
      </w:r>
      <w:r w:rsidR="00A15326" w:rsidRPr="00A15326">
        <w:rPr>
          <w:rFonts w:ascii="Arial" w:hAnsi="Arial" w:cs="Arial"/>
          <w:sz w:val="20"/>
          <w:szCs w:val="20"/>
        </w:rPr>
        <w:t xml:space="preserve"> member of the Board of Directors for the term </w:t>
      </w:r>
      <w:r>
        <w:rPr>
          <w:rFonts w:ascii="Arial" w:hAnsi="Arial" w:cs="Arial"/>
          <w:sz w:val="20"/>
          <w:szCs w:val="20"/>
        </w:rPr>
        <w:t>of 2015 – 2024</w:t>
      </w:r>
    </w:p>
    <w:p w:rsidR="00D42026" w:rsidRDefault="00D420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11: Approving the project for</w:t>
      </w:r>
      <w:r w:rsidR="00A15326" w:rsidRPr="00A15326">
        <w:rPr>
          <w:rFonts w:ascii="Arial" w:hAnsi="Arial" w:cs="Arial"/>
          <w:sz w:val="20"/>
          <w:szCs w:val="20"/>
        </w:rPr>
        <w:t xml:space="preserve"> Min</w:t>
      </w:r>
      <w:r>
        <w:rPr>
          <w:rFonts w:ascii="Arial" w:hAnsi="Arial" w:cs="Arial"/>
          <w:sz w:val="20"/>
          <w:szCs w:val="20"/>
        </w:rPr>
        <w:t xml:space="preserve">h </w:t>
      </w:r>
      <w:proofErr w:type="spellStart"/>
      <w:r>
        <w:rPr>
          <w:rFonts w:ascii="Arial" w:hAnsi="Arial" w:cs="Arial"/>
          <w:sz w:val="20"/>
          <w:szCs w:val="20"/>
        </w:rPr>
        <w:t>Phu</w:t>
      </w:r>
      <w:proofErr w:type="spellEnd"/>
      <w:r>
        <w:rPr>
          <w:rFonts w:ascii="Arial" w:hAnsi="Arial" w:cs="Arial"/>
          <w:sz w:val="20"/>
          <w:szCs w:val="20"/>
        </w:rPr>
        <w:t xml:space="preserve"> Ca Mau factory expansion</w:t>
      </w:r>
    </w:p>
    <w:p w:rsidR="004D6F8F" w:rsidRDefault="00D420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annual General Mandate</w:t>
      </w:r>
      <w:r w:rsidR="00A15326" w:rsidRPr="00A15326">
        <w:rPr>
          <w:rFonts w:ascii="Arial" w:hAnsi="Arial" w:cs="Arial"/>
          <w:sz w:val="20"/>
          <w:szCs w:val="20"/>
        </w:rPr>
        <w:t xml:space="preserve"> in 2020 </w:t>
      </w:r>
      <w:r>
        <w:rPr>
          <w:rFonts w:ascii="Arial" w:hAnsi="Arial" w:cs="Arial"/>
          <w:sz w:val="20"/>
          <w:szCs w:val="20"/>
        </w:rPr>
        <w:t xml:space="preserve">of </w:t>
      </w:r>
      <w:r w:rsidRPr="00D42026">
        <w:rPr>
          <w:rFonts w:ascii="Arial" w:hAnsi="Arial" w:cs="Arial"/>
          <w:sz w:val="20"/>
          <w:szCs w:val="20"/>
        </w:rPr>
        <w:t xml:space="preserve">Minh </w:t>
      </w:r>
      <w:proofErr w:type="spellStart"/>
      <w:r w:rsidRPr="00D42026">
        <w:rPr>
          <w:rFonts w:ascii="Arial" w:hAnsi="Arial" w:cs="Arial"/>
          <w:sz w:val="20"/>
          <w:szCs w:val="20"/>
        </w:rPr>
        <w:t>Phu</w:t>
      </w:r>
      <w:proofErr w:type="spellEnd"/>
      <w:r w:rsidRPr="00D42026">
        <w:rPr>
          <w:rFonts w:ascii="Arial" w:hAnsi="Arial" w:cs="Arial"/>
          <w:sz w:val="20"/>
          <w:szCs w:val="20"/>
        </w:rPr>
        <w:t xml:space="preserve"> Seafood Corp. </w:t>
      </w:r>
      <w:r w:rsidR="00A15326" w:rsidRPr="00A15326">
        <w:rPr>
          <w:rFonts w:ascii="Arial" w:hAnsi="Arial" w:cs="Arial"/>
          <w:sz w:val="20"/>
          <w:szCs w:val="20"/>
        </w:rPr>
        <w:t>was approved by the shareholders attending the Meeting at 11:45 am on the same day</w:t>
      </w:r>
      <w:r w:rsidR="003D730E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4D6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E043C"/>
    <w:multiLevelType w:val="hybridMultilevel"/>
    <w:tmpl w:val="94227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0DA1"/>
    <w:rsid w:val="0000274B"/>
    <w:rsid w:val="00007B2E"/>
    <w:rsid w:val="000142E1"/>
    <w:rsid w:val="00022849"/>
    <w:rsid w:val="0002469B"/>
    <w:rsid w:val="000266C2"/>
    <w:rsid w:val="000362BD"/>
    <w:rsid w:val="000365C1"/>
    <w:rsid w:val="00050E3D"/>
    <w:rsid w:val="00054119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030B"/>
    <w:rsid w:val="001110AA"/>
    <w:rsid w:val="001115E6"/>
    <w:rsid w:val="00114A0D"/>
    <w:rsid w:val="00114F74"/>
    <w:rsid w:val="001321CF"/>
    <w:rsid w:val="00132C87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1E83"/>
    <w:rsid w:val="0016411D"/>
    <w:rsid w:val="00167E2F"/>
    <w:rsid w:val="00185E8C"/>
    <w:rsid w:val="00191F14"/>
    <w:rsid w:val="001937B4"/>
    <w:rsid w:val="00194B6D"/>
    <w:rsid w:val="001A6CEF"/>
    <w:rsid w:val="001A781C"/>
    <w:rsid w:val="001C7CD2"/>
    <w:rsid w:val="001D3611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1644"/>
    <w:rsid w:val="00213D9F"/>
    <w:rsid w:val="002164D2"/>
    <w:rsid w:val="00230BF1"/>
    <w:rsid w:val="002319EE"/>
    <w:rsid w:val="00234825"/>
    <w:rsid w:val="0025148F"/>
    <w:rsid w:val="00252CE0"/>
    <w:rsid w:val="00254EA2"/>
    <w:rsid w:val="00257CC1"/>
    <w:rsid w:val="0026535B"/>
    <w:rsid w:val="002701FB"/>
    <w:rsid w:val="00270242"/>
    <w:rsid w:val="0028284F"/>
    <w:rsid w:val="0029161A"/>
    <w:rsid w:val="00296BF9"/>
    <w:rsid w:val="002A005A"/>
    <w:rsid w:val="002A3D5D"/>
    <w:rsid w:val="002A5A98"/>
    <w:rsid w:val="002B42CC"/>
    <w:rsid w:val="002C36A5"/>
    <w:rsid w:val="002D481A"/>
    <w:rsid w:val="002D4939"/>
    <w:rsid w:val="002D53EE"/>
    <w:rsid w:val="002D73E1"/>
    <w:rsid w:val="002E43D7"/>
    <w:rsid w:val="002E7289"/>
    <w:rsid w:val="002E76E5"/>
    <w:rsid w:val="002E7FD0"/>
    <w:rsid w:val="002F689A"/>
    <w:rsid w:val="002F68A9"/>
    <w:rsid w:val="00304722"/>
    <w:rsid w:val="0030503E"/>
    <w:rsid w:val="0031274D"/>
    <w:rsid w:val="00316F05"/>
    <w:rsid w:val="00320096"/>
    <w:rsid w:val="0032185B"/>
    <w:rsid w:val="0032223C"/>
    <w:rsid w:val="003250AD"/>
    <w:rsid w:val="00327CF7"/>
    <w:rsid w:val="0033774A"/>
    <w:rsid w:val="00341204"/>
    <w:rsid w:val="00353428"/>
    <w:rsid w:val="00372FC9"/>
    <w:rsid w:val="0037607E"/>
    <w:rsid w:val="003841E2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5097"/>
    <w:rsid w:val="003D730E"/>
    <w:rsid w:val="003E60D6"/>
    <w:rsid w:val="003E73CA"/>
    <w:rsid w:val="003F38AB"/>
    <w:rsid w:val="00403A9C"/>
    <w:rsid w:val="004115D9"/>
    <w:rsid w:val="00411E47"/>
    <w:rsid w:val="00412CC2"/>
    <w:rsid w:val="00420169"/>
    <w:rsid w:val="0042783A"/>
    <w:rsid w:val="0043345C"/>
    <w:rsid w:val="00433E4F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B8B"/>
    <w:rsid w:val="00490B2B"/>
    <w:rsid w:val="00491B54"/>
    <w:rsid w:val="00496733"/>
    <w:rsid w:val="0049772B"/>
    <w:rsid w:val="004A554D"/>
    <w:rsid w:val="004B2BA6"/>
    <w:rsid w:val="004B473F"/>
    <w:rsid w:val="004B4798"/>
    <w:rsid w:val="004C0DD9"/>
    <w:rsid w:val="004C144F"/>
    <w:rsid w:val="004D6F8F"/>
    <w:rsid w:val="004D70F9"/>
    <w:rsid w:val="004E4C16"/>
    <w:rsid w:val="004E5AA4"/>
    <w:rsid w:val="004F3452"/>
    <w:rsid w:val="00503187"/>
    <w:rsid w:val="00503DD6"/>
    <w:rsid w:val="00505065"/>
    <w:rsid w:val="0052379D"/>
    <w:rsid w:val="0053093D"/>
    <w:rsid w:val="00534C35"/>
    <w:rsid w:val="005420FD"/>
    <w:rsid w:val="0055067A"/>
    <w:rsid w:val="00551A83"/>
    <w:rsid w:val="00554914"/>
    <w:rsid w:val="005610CB"/>
    <w:rsid w:val="00561BD1"/>
    <w:rsid w:val="0057357F"/>
    <w:rsid w:val="00576A91"/>
    <w:rsid w:val="00584222"/>
    <w:rsid w:val="0058434E"/>
    <w:rsid w:val="00584B26"/>
    <w:rsid w:val="00585B82"/>
    <w:rsid w:val="005906FC"/>
    <w:rsid w:val="005913A5"/>
    <w:rsid w:val="00596DB2"/>
    <w:rsid w:val="005970B6"/>
    <w:rsid w:val="005A0BA8"/>
    <w:rsid w:val="005B06D4"/>
    <w:rsid w:val="005B1FDE"/>
    <w:rsid w:val="005B40E5"/>
    <w:rsid w:val="005C57E0"/>
    <w:rsid w:val="005D29FE"/>
    <w:rsid w:val="005D7F9C"/>
    <w:rsid w:val="005E7B32"/>
    <w:rsid w:val="005F7ED5"/>
    <w:rsid w:val="006000D8"/>
    <w:rsid w:val="00604110"/>
    <w:rsid w:val="0063035E"/>
    <w:rsid w:val="0063581B"/>
    <w:rsid w:val="006374A1"/>
    <w:rsid w:val="006468F5"/>
    <w:rsid w:val="00653D82"/>
    <w:rsid w:val="00662E88"/>
    <w:rsid w:val="00664834"/>
    <w:rsid w:val="00681845"/>
    <w:rsid w:val="006909EF"/>
    <w:rsid w:val="006938BF"/>
    <w:rsid w:val="006948E2"/>
    <w:rsid w:val="00694B5D"/>
    <w:rsid w:val="00695ACD"/>
    <w:rsid w:val="006A727D"/>
    <w:rsid w:val="006A7679"/>
    <w:rsid w:val="006B04E8"/>
    <w:rsid w:val="006B10DB"/>
    <w:rsid w:val="006B36E8"/>
    <w:rsid w:val="006C0410"/>
    <w:rsid w:val="006D01D8"/>
    <w:rsid w:val="006D683C"/>
    <w:rsid w:val="006D7085"/>
    <w:rsid w:val="006E15A6"/>
    <w:rsid w:val="006E23FD"/>
    <w:rsid w:val="006E40BA"/>
    <w:rsid w:val="006E5E99"/>
    <w:rsid w:val="006F7079"/>
    <w:rsid w:val="00702AC7"/>
    <w:rsid w:val="00703A99"/>
    <w:rsid w:val="00710F35"/>
    <w:rsid w:val="007218D0"/>
    <w:rsid w:val="00731635"/>
    <w:rsid w:val="00732DC3"/>
    <w:rsid w:val="007336C9"/>
    <w:rsid w:val="0073373F"/>
    <w:rsid w:val="007355C7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0BAA"/>
    <w:rsid w:val="007A1FCC"/>
    <w:rsid w:val="007B07E7"/>
    <w:rsid w:val="007B27CD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0662"/>
    <w:rsid w:val="008134FC"/>
    <w:rsid w:val="00824C8E"/>
    <w:rsid w:val="00837771"/>
    <w:rsid w:val="00837A2F"/>
    <w:rsid w:val="008405F2"/>
    <w:rsid w:val="0084142F"/>
    <w:rsid w:val="008428CB"/>
    <w:rsid w:val="0084464A"/>
    <w:rsid w:val="0084485C"/>
    <w:rsid w:val="00844ED5"/>
    <w:rsid w:val="0084679A"/>
    <w:rsid w:val="00846A9E"/>
    <w:rsid w:val="008507EB"/>
    <w:rsid w:val="00850CA2"/>
    <w:rsid w:val="008522D5"/>
    <w:rsid w:val="00853748"/>
    <w:rsid w:val="008544C2"/>
    <w:rsid w:val="008647D9"/>
    <w:rsid w:val="00882307"/>
    <w:rsid w:val="00884B9C"/>
    <w:rsid w:val="00887454"/>
    <w:rsid w:val="008B2D34"/>
    <w:rsid w:val="008C0872"/>
    <w:rsid w:val="008C7A42"/>
    <w:rsid w:val="008F0FDD"/>
    <w:rsid w:val="00910D86"/>
    <w:rsid w:val="00912FBD"/>
    <w:rsid w:val="009232CB"/>
    <w:rsid w:val="00923467"/>
    <w:rsid w:val="009327E6"/>
    <w:rsid w:val="00934FC0"/>
    <w:rsid w:val="00936ABF"/>
    <w:rsid w:val="00937D79"/>
    <w:rsid w:val="009410B8"/>
    <w:rsid w:val="00941B71"/>
    <w:rsid w:val="00945B11"/>
    <w:rsid w:val="009464B8"/>
    <w:rsid w:val="00946E1F"/>
    <w:rsid w:val="00954AB6"/>
    <w:rsid w:val="00962777"/>
    <w:rsid w:val="00964DEC"/>
    <w:rsid w:val="00966EA5"/>
    <w:rsid w:val="00980267"/>
    <w:rsid w:val="00981275"/>
    <w:rsid w:val="00981536"/>
    <w:rsid w:val="0098360E"/>
    <w:rsid w:val="00985126"/>
    <w:rsid w:val="0099040A"/>
    <w:rsid w:val="009923DF"/>
    <w:rsid w:val="009A6F47"/>
    <w:rsid w:val="009C28F2"/>
    <w:rsid w:val="009D1351"/>
    <w:rsid w:val="009D2257"/>
    <w:rsid w:val="009E1744"/>
    <w:rsid w:val="009E4AC5"/>
    <w:rsid w:val="009F2709"/>
    <w:rsid w:val="00A050AA"/>
    <w:rsid w:val="00A06443"/>
    <w:rsid w:val="00A06521"/>
    <w:rsid w:val="00A06C81"/>
    <w:rsid w:val="00A128FC"/>
    <w:rsid w:val="00A14EC9"/>
    <w:rsid w:val="00A15326"/>
    <w:rsid w:val="00A23E8D"/>
    <w:rsid w:val="00A34999"/>
    <w:rsid w:val="00A4710B"/>
    <w:rsid w:val="00A47614"/>
    <w:rsid w:val="00A61FAF"/>
    <w:rsid w:val="00A63B6C"/>
    <w:rsid w:val="00A70946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146CD"/>
    <w:rsid w:val="00B21CC3"/>
    <w:rsid w:val="00B30128"/>
    <w:rsid w:val="00B345DE"/>
    <w:rsid w:val="00B35896"/>
    <w:rsid w:val="00B41BD9"/>
    <w:rsid w:val="00B43A5A"/>
    <w:rsid w:val="00B441E0"/>
    <w:rsid w:val="00B45BE5"/>
    <w:rsid w:val="00B46C41"/>
    <w:rsid w:val="00B47474"/>
    <w:rsid w:val="00B564D8"/>
    <w:rsid w:val="00B62DF2"/>
    <w:rsid w:val="00B64F6C"/>
    <w:rsid w:val="00B67330"/>
    <w:rsid w:val="00B70948"/>
    <w:rsid w:val="00B70D7E"/>
    <w:rsid w:val="00B7158A"/>
    <w:rsid w:val="00B72E2C"/>
    <w:rsid w:val="00B7408A"/>
    <w:rsid w:val="00B744E0"/>
    <w:rsid w:val="00B823A0"/>
    <w:rsid w:val="00B82B7A"/>
    <w:rsid w:val="00B84F6A"/>
    <w:rsid w:val="00B9630F"/>
    <w:rsid w:val="00BA1F12"/>
    <w:rsid w:val="00BA2434"/>
    <w:rsid w:val="00BA2DBC"/>
    <w:rsid w:val="00BA3FB7"/>
    <w:rsid w:val="00BB1331"/>
    <w:rsid w:val="00BB149F"/>
    <w:rsid w:val="00BB19BD"/>
    <w:rsid w:val="00BB27B4"/>
    <w:rsid w:val="00BB2980"/>
    <w:rsid w:val="00BB773F"/>
    <w:rsid w:val="00BC1309"/>
    <w:rsid w:val="00BD3CCA"/>
    <w:rsid w:val="00BD6969"/>
    <w:rsid w:val="00BE3B72"/>
    <w:rsid w:val="00BF0485"/>
    <w:rsid w:val="00C02706"/>
    <w:rsid w:val="00C11B90"/>
    <w:rsid w:val="00C220E2"/>
    <w:rsid w:val="00C2280B"/>
    <w:rsid w:val="00C26F1A"/>
    <w:rsid w:val="00C32F3A"/>
    <w:rsid w:val="00C33F82"/>
    <w:rsid w:val="00C36031"/>
    <w:rsid w:val="00C363B8"/>
    <w:rsid w:val="00C37415"/>
    <w:rsid w:val="00C40291"/>
    <w:rsid w:val="00C47C93"/>
    <w:rsid w:val="00C57CB9"/>
    <w:rsid w:val="00C61E40"/>
    <w:rsid w:val="00C61EAF"/>
    <w:rsid w:val="00C65917"/>
    <w:rsid w:val="00C8203A"/>
    <w:rsid w:val="00C93F6A"/>
    <w:rsid w:val="00C940B5"/>
    <w:rsid w:val="00C97B83"/>
    <w:rsid w:val="00CA0AB7"/>
    <w:rsid w:val="00CA1BB3"/>
    <w:rsid w:val="00CB5C91"/>
    <w:rsid w:val="00CC39D3"/>
    <w:rsid w:val="00CC5122"/>
    <w:rsid w:val="00CD1C0C"/>
    <w:rsid w:val="00CD22F3"/>
    <w:rsid w:val="00CD696B"/>
    <w:rsid w:val="00CE40C1"/>
    <w:rsid w:val="00CF1764"/>
    <w:rsid w:val="00CF6D90"/>
    <w:rsid w:val="00CF7CE6"/>
    <w:rsid w:val="00D02E12"/>
    <w:rsid w:val="00D07AEF"/>
    <w:rsid w:val="00D2295D"/>
    <w:rsid w:val="00D322FB"/>
    <w:rsid w:val="00D370AF"/>
    <w:rsid w:val="00D415AC"/>
    <w:rsid w:val="00D42026"/>
    <w:rsid w:val="00D42678"/>
    <w:rsid w:val="00D52C26"/>
    <w:rsid w:val="00D55CBB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C65A3"/>
    <w:rsid w:val="00DC74CA"/>
    <w:rsid w:val="00DD1205"/>
    <w:rsid w:val="00DD263A"/>
    <w:rsid w:val="00DE5C3C"/>
    <w:rsid w:val="00DF4180"/>
    <w:rsid w:val="00DF739B"/>
    <w:rsid w:val="00E11F06"/>
    <w:rsid w:val="00E130EE"/>
    <w:rsid w:val="00E13C77"/>
    <w:rsid w:val="00E13F43"/>
    <w:rsid w:val="00E17016"/>
    <w:rsid w:val="00E20A0F"/>
    <w:rsid w:val="00E24D07"/>
    <w:rsid w:val="00E24F0A"/>
    <w:rsid w:val="00E27923"/>
    <w:rsid w:val="00E313AB"/>
    <w:rsid w:val="00E35884"/>
    <w:rsid w:val="00E40729"/>
    <w:rsid w:val="00E43201"/>
    <w:rsid w:val="00E44453"/>
    <w:rsid w:val="00E47B26"/>
    <w:rsid w:val="00E51F4E"/>
    <w:rsid w:val="00E53A5C"/>
    <w:rsid w:val="00E55270"/>
    <w:rsid w:val="00E5565D"/>
    <w:rsid w:val="00E65132"/>
    <w:rsid w:val="00E7691C"/>
    <w:rsid w:val="00E87575"/>
    <w:rsid w:val="00E940FA"/>
    <w:rsid w:val="00E96289"/>
    <w:rsid w:val="00E96D65"/>
    <w:rsid w:val="00EA4C28"/>
    <w:rsid w:val="00EA6EE7"/>
    <w:rsid w:val="00EB09F2"/>
    <w:rsid w:val="00EC2D2D"/>
    <w:rsid w:val="00EC37DE"/>
    <w:rsid w:val="00ED0A7A"/>
    <w:rsid w:val="00ED3B40"/>
    <w:rsid w:val="00ED6D41"/>
    <w:rsid w:val="00EE5769"/>
    <w:rsid w:val="00EF091F"/>
    <w:rsid w:val="00EF47D6"/>
    <w:rsid w:val="00F10595"/>
    <w:rsid w:val="00F13333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3E13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F1F23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344</cp:revision>
  <dcterms:created xsi:type="dcterms:W3CDTF">2019-10-16T10:03:00Z</dcterms:created>
  <dcterms:modified xsi:type="dcterms:W3CDTF">2020-07-08T11:11:00Z</dcterms:modified>
</cp:coreProperties>
</file>